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24 126 vom 15. September 2025</w:t>
      </w:r>
    </w:p>
    <w:p>
      <w:r>
        <w:t>VS Kantonsgericht, 2025-09-15, FR</w:t>
      </w:r>
    </w:p>
    <w:p>
      <w:r>
        <w:rPr>
          <w:b/>
        </w:rPr>
        <w:t xml:space="preserve">Quelle: </w:t>
      </w:r>
      <w:r>
        <w:t>https://mcp.opencaselaw.ch/entscheid/vs_gerichte_F1 24 126</w:t>
      </w:r>
    </w:p>
    <w:p>
      <w:r>
        <w:t>FR: VS_GERICHTE F1 24 126 du 15 septembre 2025</w:t>
      </w:r>
    </w:p>
    <w:p>
      <w:r>
        <w:t>IT: VS_GERICHTE F1 24 126 del 15 settembre 2025</w:t>
      </w:r>
    </w:p>
    <w:p>
      <w:pPr>
        <w:pStyle w:val="Heading2"/>
      </w:pPr>
      <w:r>
        <w:t>Erwägungen</w:t>
      </w:r>
    </w:p>
    <w:p>
      <w:r>
        <w:rPr>
          <w:b/>
        </w:rPr>
        <w:t>E. 1.1</w:t>
      </w:r>
    </w:p>
    <w:p>
      <w:r>
        <w:t>Sous les réserves émises plus loin dans l’arrêt, le recours a été formé régulièrement , de sorte qu’il convient d’entrer en matière (art. 50 al. 1 et 2 LHID ; art. 150 LF ; art. 81a al. 1 et 2, 80 al. 1 let. a et c, 44 al. 1 let. a et 48 LPJA).</w:t>
      </w:r>
    </w:p>
    <w:p>
      <w:r>
        <w:rPr>
          <w:b/>
        </w:rPr>
        <w:t>E. 1.2</w:t>
      </w:r>
    </w:p>
    <w:p>
      <w:r>
        <w:t>Le SCC a déposé son dossier. La requête correspondante du recourant est ainsi satisfaite. Il n’y a pas lieu de procéder à l’audition de celui-ci dans la mesure où il a eu tout le loisir de s’exprimer par écrit (art. 150 al. 3 LF ; art. 80 al. 1 let. d, 56 al. 1 et 17 al. 2 LPJA). Il est pour le reste rappelé que, dans une procédure purement fiscale, le droit d’être entendu ne confère pas au contribuable celui de l’être oralement (ATF 140 I 68 consid. 9.6.1).</w:t>
      </w:r>
    </w:p>
    <w:p>
      <w:r>
        <w:rPr>
          <w:b/>
        </w:rPr>
        <w:t>E. 2.1</w:t>
      </w:r>
    </w:p>
    <w:p>
      <w:r>
        <w:t>En présence d’une taxation d’office, le pouvoir d’examen du Tribunal cantonal est restreint dans la même mesure que celui de l’autorité de réclamation, devant laquelle le contribuable peut uniquement faire valoir que la taxation était manifestement inexacte (cf. art. 48 al. 2 LHID et 139 al. 1 LF). La procédure de recours demeure donc limitée à l’examen de ce grief (HUNZIKER/BIGLER, in : ZWEIFEL/BEUSCH [édit.], Kommentar zum Schweizerischen Steuerrecht, Bundesgesetz über die Harmonisierung der direkten Steuern der Kantone und Gemeinden, 4ème éd. 2022, n° 15 ad art. 50 LHID et les références ; cf. ég. en matière d’IFD arrêt du Tribunal fédéral 2C_42/2017 du 20 janvier 2017 consid. 2.2).</w:t>
      </w:r>
    </w:p>
    <w:p>
      <w:r>
        <w:t>- 6 -</w:t>
      </w:r>
    </w:p>
    <w:p>
      <w:r>
        <w:rPr>
          <w:b/>
        </w:rPr>
        <w:t>E. 2.2</w:t>
      </w:r>
    </w:p>
    <w:p>
      <w:r>
        <w:t>Une taxation d’office est manifestement inexacte lorsqu’elle passe sous silence ou apprécie de manière erronée un élément essentiel et pertinent (arrêt du Tribunal fédéral 2C_890/2018 du 18 septembre 2019 consid. 4.3 ; CASANOVA/DUBEY, in : NOËL/AUBRY GIRARDIN [édit.], Commentaire romand, Impôt fédéral direct, 2ème éd. 2017, n° 28 ad art. 132 LIFD). L’inexactitude manifeste d’une estimation peut être admise lorsque la taxation, même en tenant compte d’une certaine marge d’appréciation, est clairement trop haute ou trop basse, lorsqu’il est clairement reconnaissable qu’elle repose sur des fondements, des méthodes ou des moyens d’estimation erronés ou enfin lorsqu’elle n’est raisonnablement pas conciliable avec les circonstances du cas d’espèce telles qu’elles ressortent des pièces (CASANOVA/DUBEY, op. cit., n° 28 ad art. 132 LIFD).</w:t>
      </w:r>
    </w:p>
    <w:p>
      <w:r>
        <w:rPr>
          <w:b/>
        </w:rPr>
        <w:t>E. 2.3</w:t>
      </w:r>
    </w:p>
    <w:p>
      <w:r>
        <w:t>En présence d’une taxation d’office, les conditions relatives à la motivation du recours sont identiques à celles applicables dans la procédure de réclamation (cf. art. 48 al. 2 LHID et 139 al. 1 LF) (HUNZIKER/BIGLER, op. cit., n° 13a ad art. 50 LHID). Ainsi, les exigences en matière de preuve de l’inexactitude manifeste de la taxation s’appliquent également à la procédure de recours (ZWEIFEL/HUNZIKER, in : ZWEIFEL/BEUSCH [édit.], Kommentar zum Schweizerischen Steuerrecht, Bundesgesetz über die Harmonisierung der direkten Steuern der Kantone und Gemeinden, 4ème éd. 2022, n° 62 ad art. 48 LHID ; cf. ég. en matière d’IFD arrêt du Tribunal fédéral 2C_683/2013 du 13 février 2014 consid. 5.1). En substance, le contribuable doit prouver que la taxation d'office ne correspond pas à la situation de fait. Il doit éliminer l'incertitude existant jusqu'alors en démontrant l'inexactitude de manière stricte ; de simples preuves partielles ne suffisent pas. En outre, le contribuable qui n'a pas rempli son devoir de collaborer dans la procédure doit rattraper la collaboration négligée auparavant (arrêt du Tribunal fédéral 2C_683/2013 précité consid. 5.1). En l'absence de preuve suffisante de l'inexactitude, l'autorité de recours n'a pas à mener d’instruction complémentaire. Elle doit uniquement examiner, sur la base du dossier existant, si l'estimation contestée des facteurs fiscaux est manifestement inexacte quant à son montant (HUNZIKER/BIGLER, op. cit., n° 17c ad art. 50 LHID).</w:t>
      </w:r>
    </w:p>
    <w:p>
      <w:r>
        <w:rPr>
          <w:b/>
        </w:rPr>
        <w:t>E. 3</w:t>
      </w:r>
    </w:p>
    <w:p>
      <w:r>
        <w:t>Le recourant invoque une violation des art. 12 LHID et 44 LF, faisant valoir qu’il n’a réalisé aucun gain du fait de l’acte d’échange immobilier.</w:t>
      </w:r>
    </w:p>
    <w:p>
      <w:r>
        <w:rPr>
          <w:b/>
        </w:rPr>
        <w:t>E. 3.1.1</w:t>
      </w:r>
    </w:p>
    <w:p>
      <w:r>
        <w:t>Selon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w:t>
      </w:r>
    </w:p>
    <w:p>
      <w:r>
        <w:t>- 7 - valeur s’y substituant, impenses). Toute aliénation d’immeubles est imposable (art. 12 al. 2, 1ère phrase LHID). Les art. 44 al. 1 et 45 al. 1 LF correspondent à ces dispositions. L’impôt sur les gains immobiliers trouve sa justification dans l’augmentation constante de valeur que connaissent généralement les immeubles au fil du temps. Les raisons de cette hausse sont multifactorielles, mais tiennent principalement à une demande excédentaire dans le parc immobilier. La plus-value ainsi générée constitue la principale cause du gain réalisé lors de l’aliénation (AFC, Imposition des gains immobiliers, in : Informations fiscales éditées par la Conférence suisse des impôts, 2024, ch. 1.2).</w:t>
      </w:r>
    </w:p>
    <w:p>
      <w:r>
        <w:rPr>
          <w:b/>
        </w:rPr>
        <w:t>E. 3.1.2</w:t>
      </w:r>
    </w:p>
    <w:p>
      <w:r>
        <w:t>L’acte d’échange fait partie des aliénations d’immeubles soumises à l’impôt sur le gain immobilier (arrêt de la CCR du 18 janvier 2019 dans la cause G. V. consid. 2d ; AFC, Informations fiscales précitées, ch. 5.3.1.1 ; ZWEIFEL ET AL., Schweizerisches Grundstückgewinnsteuerrecht, 2021, § 6 n° 31). Il déclenche deux procédures de taxation, portant sur chacune des aliénations réciproques (ZWEIFEL ET AL., op. cit., § 10 n° 99 ; RICHNER ET AL., Kommentar zum Zürcher Steuergesetz, 4ème éd. 2021, § 216 n° 33).</w:t>
      </w:r>
    </w:p>
    <w:p>
      <w:r>
        <w:rPr>
          <w:b/>
        </w:rPr>
        <w:t>E. 3.2.1</w:t>
      </w:r>
    </w:p>
    <w:p>
      <w:r>
        <w:t>L’art. 12 al. 1 LHID ne définit pas plus en avant les notions de « produit », de « frais d'investissement » et de « valeur de remplacement ». Ainsi, les cantons ont une certaine marge de manœuvre dans la définition du bénéfice imposable (ATF 150 II 478 consid. 5.1.1). En droit cantonal, l’art. 48 al. 1 LF prévoit que le bénéfice imposable est constitué par la différence entre le produit de l’aliénation et les dépenses d’investissement (prix d’acquisition et impenses ou autres valeurs s’y substituant). En présence d’un acte d’échange, il correspond à la différence entre la valeur de l'immeuble obtenu en échange et les dépenses d'investissement de l'immeuble qui a été aliéné (VERREY, L’imposition différée du gain immobilier : harmonisation fédérale et droit cantonal comparé, thèse 2011, p. 389 ; arrêt de la CCR du 24 janvier 2001 dans la cause O. B. consid. 2b ; cf. ég. arrêt de la Cour de droit administratif et public du Tribunal cantonal vaudois FI.2017.0130 du 2 février 2019 consid. 2c).</w:t>
      </w:r>
    </w:p>
    <w:p>
      <w:r>
        <w:rPr>
          <w:b/>
        </w:rPr>
        <w:t>E. 3.2.2</w:t>
      </w:r>
    </w:p>
    <w:p>
      <w:r>
        <w:t>Selon l’art. 49 al. 1 LF, le produit de l'aliénation comprend toutes les prestations mises à charge de l'acquéreur. Il correspond au prix de vente, augmenté des prestations qui ont un lien de causalité avec la vente mais qui ne sont pas mentionnées dans l’acte authentique, et diminué des montants qui ne correspondent pas à des valeurs immobilières (HUNZIKER/SEILER, op. cit., n° 74 ad art. 12 LHID). Ainsi, lorsque l’acte de vente fixe certaines obligations complémentaires au vendeur (telles qu’une renonciation</w:t>
      </w:r>
    </w:p>
    <w:p>
      <w:r>
        <w:t>- 8 - à un droit), l’on peut envisager qu’une partie du prix de vente mentionné dans l’acte ne se rapporte pas au transfert de l’immeuble, mais représente la contrepartie de ces prestations complémentaires, et que, dans cette mesure, elle ne devrait pas être prise en considération dans le calcul de l’impôt. Il peut toutefois être impossible de chiffrer la valeur réelle de telles prestations, notamment lorsque celles-ci sont compensées par des prestations complémentaires de l’autre partie (arrêt de la CCR du 7 mai 1993 dans la cause C. M. consid. 2d). Lors d’un d’échange de biens immobiliers, le produit de l’aliénation est en principe déterminé à partir de la valeur vénale du bien reçu en échange (arrêt de la CCR du 24 janvier 2001 précité consid. 2b ; HUNZIKER/SEILER, op. cit., n° 77 ad art. 12 LHID ; cf. ég. arrêt du Tribunal fédéral 2C_598/2018 du 27 septembre 2019 consid. 4.1). La question de savoir si les parties ont mentionné la valeur vénale du bien dans l’acte d’échange n’a pas d’importance (ZWEIFEL ET AL., op. cit., § 10 n° 101).</w:t>
      </w:r>
    </w:p>
    <w:p>
      <w:r>
        <w:rPr>
          <w:b/>
        </w:rPr>
        <w:t>E. 3.3</w:t>
      </w:r>
    </w:p>
    <w:p>
      <w:r>
        <w:t>A ce stade, le recourant ne conteste plus, à juste titre, que l’acte d’échange litigieux est, sur le principe, soumis à l’impôt sur le gain immobilier. Pour déterminer le produit de l’aliénation, l’autorité intimée a estimé la valeur de la part de copropriété reçue par le recourant (½ de 340/1000èmes) à 433’500 fr., sur la base d’une évaluation globale de l’immeuble de 2’550’000 francs. Une telle manière de procéder est conforme à la jurisprudence exposée ci-dessus. Le recourant n’apporte aucun élément permettant de remettre en cause cette estimation, se contentant d’affirmer que l’IPC et les coûts de construction généraux n’avaient pas augmenté depuis 2013. Ces éléments ne permettent toutefois pas de nier l’existence d’une augmentation de valeur de l’immeuble résultant du marché immobilier. Partant, la valeur vénale retenue par le fisc pour le bien reçu en échange n’a pas lieu d’être corrigée. Il en va de même s’agissant des montants pris en compte au titre du prix d’acquisition et des frais de construction de la part de copropriété aliénée (½ de 252/1000èmes). Ces chiffres se basent sur les valeurs retenues et admises lors de la taxation du gain immobilier tiré de la vente du premier lot de PPE et ne sont pas explicitement contestés par le recourant. Celui-ci s’est en effet contenté d’alléguer que le prix de revient total de l’immeuble se montait à 2’060’333 fr. 95 – contre 1’905’873 fr. retenus par l’autorité intimée –, en produisant un tableau établi par ses soins et sans fournir la moindre preuve complémentaire. Une telle motivation ne satisfait pas aux exigences rappelées ci-dessus pour un recours dirigé contre une taxation d’office. Le recourant objecte également qu’aucun gain ne saurait être retenu dès lors qu’il avait financé la construction des appartements de manière plus importante que sa sœur, en</w:t>
      </w:r>
    </w:p>
    <w:p>
      <w:r>
        <w:t>- 9 - dépit d’une répartition par moitié de leurs parts de copropriété. Il semble ainsi partir du postulat que l’imposition résulte (uniquement) de la différence de taille entre les biens échangés. Il perd toutefois de vue que l’objet de l’impôt est l’augmentation de valeur de l’immeuble intervenue entre 2013 et 2022, imposée à l’occasion de l’acte d’échange. Le gain immobilier résulte ainsi principalement du fait que la valeur de l’immeuble était estimée à 2’550’000 fr. en 2022, alors que son coût de revient s’élevait à 1’905’873 fr. en 2013, et non (uniquement) du fait que l’appartement reçu valait plus que l’appartement cédé. Le recourant a également fait valoir que la répartition du financement des biens entre sa sœur et lui (à raison de 44% contre 56%) devait être prise en compte dans le calcul de l’impôt. Cet élément ne permet toutefois pas d’opérer une déduction sur le produit de l’aliénation au titre d’un éventuel abandon de créance. En effet, la sœur du recourant a elle aussi fourni des contreprestations à son égard, puisque le recourant a bénéficié seul de l’usage et des revenus de l’appartement plus grand malgré une copropriété à parts égales, ce que confirme du reste l’acte d’échange. Il ne saurait dès lors être retenu que le produit de l’aliénation couvrait d’autres éléments que l’objet cédé.</w:t>
      </w:r>
    </w:p>
    <w:p>
      <w:r>
        <w:rPr>
          <w:b/>
        </w:rPr>
        <w:t>E. 3.4</w:t>
      </w:r>
    </w:p>
    <w:p>
      <w:r>
        <w:t>En définitive, le recourant n’est pas parvenu à démontrer que la taxation sur le gain immobilier telle qu’opérée par le SCC était manifestement inexacte. Les griefs y relatifs doivent donc être rejetés.</w:t>
      </w:r>
    </w:p>
    <w:p>
      <w:r>
        <w:rPr>
          <w:b/>
        </w:rPr>
        <w:t>E. 4.1</w:t>
      </w:r>
    </w:p>
    <w:p>
      <w:r>
        <w:t>Les considérants qui précèdent conduisent au rejet du recours (art. 150 al. 3 LF ; art. 80 al. 1 let. e et 60 al. 1 LPJA).</w:t>
      </w:r>
    </w:p>
    <w:p>
      <w:r>
        <w:rPr>
          <w:b/>
        </w:rPr>
        <w:t>E. 4.2</w:t>
      </w:r>
    </w:p>
    <w:p>
      <w:r>
        <w:t>Les frais de la cause, fixés principalement sur le vu des principes de la couverture des frais et de l’équivalence des prestations, à 1500 fr., sont mis à la charge du recourant, qui succombe et n’a pas droit à des dépens (art. 150 al. 3 LF ; art. 89 al. 1 et 91 al. 1 a contrario LPJA, art. 3 al. 3, 11, 13 al. 1 et 25 LTar).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